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eastAsia="黑体" w:cs="Times New Roman"/>
          <w:color w:val="auto"/>
          <w:sz w:val="30"/>
          <w:szCs w:val="30"/>
        </w:rPr>
      </w:pPr>
      <w:r>
        <w:rPr>
          <w:rFonts w:ascii="Times New Roman" w:hAnsi="Times New Roman" w:eastAsia="黑体" w:cs="Times New Roman"/>
          <w:color w:val="auto"/>
          <w:sz w:val="30"/>
          <w:szCs w:val="30"/>
        </w:rPr>
        <w:t>附件1</w:t>
      </w:r>
    </w:p>
    <w:p>
      <w:pPr>
        <w:pStyle w:val="6"/>
        <w:tabs>
          <w:tab w:val="left" w:pos="3119"/>
          <w:tab w:val="left" w:pos="7333"/>
        </w:tabs>
        <w:jc w:val="center"/>
        <w:rPr>
          <w:rFonts w:hint="eastAsia" w:ascii="方正小标宋简体" w:hAnsi="方正小标宋简体" w:eastAsia="方正小标宋简体" w:cs="Times New Roman"/>
          <w:color w:val="auto"/>
          <w:sz w:val="30"/>
          <w:szCs w:val="30"/>
        </w:rPr>
      </w:pPr>
      <w:bookmarkStart w:id="0" w:name="_Hlk72921286"/>
      <w:bookmarkStart w:id="1" w:name="_Hlk82683497"/>
      <w:r>
        <w:rPr>
          <w:rFonts w:hint="eastAsia" w:ascii="方正小标宋简体" w:hAnsi="方正小标宋简体" w:eastAsia="方正小标宋简体" w:cs="Times New Roman"/>
          <w:color w:val="auto"/>
          <w:sz w:val="30"/>
          <w:szCs w:val="30"/>
        </w:rPr>
        <w:t>党员干部学习宣传贯彻党的二十大精神专题网络培训</w:t>
      </w:r>
    </w:p>
    <w:p>
      <w:pPr>
        <w:pStyle w:val="6"/>
        <w:tabs>
          <w:tab w:val="left" w:pos="3119"/>
          <w:tab w:val="left" w:pos="7333"/>
        </w:tabs>
        <w:jc w:val="center"/>
        <w:rPr>
          <w:rFonts w:ascii="方正小标宋简体" w:hAnsi="方正小标宋简体" w:eastAsia="方正小标宋简体" w:cs="Times New Roman"/>
          <w:color w:val="auto"/>
          <w:sz w:val="30"/>
          <w:szCs w:val="30"/>
        </w:rPr>
      </w:pPr>
      <w:r>
        <w:rPr>
          <w:rFonts w:hint="eastAsia" w:ascii="方正小标宋简体" w:hAnsi="方正小标宋简体" w:eastAsia="方正小标宋简体" w:cs="Times New Roman"/>
          <w:color w:val="auto"/>
          <w:sz w:val="30"/>
          <w:szCs w:val="30"/>
        </w:rPr>
        <w:t>课程列表</w:t>
      </w:r>
    </w:p>
    <w:bookmarkEnd w:id="0"/>
    <w:tbl>
      <w:tblPr>
        <w:tblStyle w:val="4"/>
        <w:tblW w:w="503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3"/>
        <w:gridCol w:w="65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5000" w:type="pct"/>
            <w:gridSpan w:val="2"/>
            <w:shd w:val="clear" w:color="auto" w:fill="D7D7D7"/>
            <w:noWrap/>
            <w:vAlign w:val="center"/>
          </w:tcPr>
          <w:p>
            <w:pPr>
              <w:pStyle w:val="6"/>
              <w:tabs>
                <w:tab w:val="left" w:pos="3119"/>
              </w:tabs>
              <w:snapToGrid w:val="0"/>
              <w:jc w:val="center"/>
              <w:rPr>
                <w:rFonts w:hint="eastAsia" w:eastAsia="楷体" w:cs="Times New Roman"/>
                <w:color w:val="auto"/>
                <w:sz w:val="28"/>
                <w:szCs w:val="28"/>
                <w:u w:val="none" w:color="auto"/>
              </w:rPr>
            </w:pPr>
            <w:r>
              <w:rPr>
                <w:rFonts w:eastAsia="黑体" w:cs="Times New Roman"/>
                <w:color w:val="auto"/>
                <w:sz w:val="24"/>
                <w:szCs w:val="24"/>
                <w:u w:val="none" w:color="auto"/>
              </w:rPr>
              <w:t>——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 w:color="auto"/>
              </w:rPr>
              <w:t>◆</w:t>
            </w:r>
            <w:r>
              <w:rPr>
                <w:rFonts w:eastAsia="黑体" w:cs="Times New Roman"/>
                <w:color w:val="auto"/>
                <w:sz w:val="24"/>
                <w:szCs w:val="24"/>
                <w:u w:val="none" w:color="auto"/>
              </w:rPr>
              <w:t xml:space="preserve"> 二十大精神系统学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 w:color="auto"/>
              </w:rPr>
              <w:t>◆</w:t>
            </w:r>
            <w:r>
              <w:rPr>
                <w:rFonts w:eastAsia="黑体" w:cs="Times New Roman"/>
                <w:color w:val="auto"/>
                <w:sz w:val="24"/>
                <w:szCs w:val="24"/>
                <w:u w:val="none" w:color="auto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5000" w:type="pct"/>
            <w:gridSpan w:val="2"/>
            <w:shd w:val="clear" w:color="auto" w:fill="D7D7D7"/>
            <w:noWrap/>
            <w:vAlign w:val="center"/>
          </w:tcPr>
          <w:p>
            <w:pPr>
              <w:snapToGrid w:val="0"/>
              <w:jc w:val="center"/>
              <w:rPr>
                <w:rFonts w:hint="eastAsia" w:eastAsia="楷体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color w:val="auto"/>
                <w:sz w:val="24"/>
                <w:szCs w:val="24"/>
              </w:rPr>
              <w:t>课程名称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5000" w:type="pct"/>
            <w:gridSpan w:val="2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eastAsia="楷体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bidi="ar"/>
              </w:rPr>
              <w:t>奋力谱写全面建设社会主义现代化国家崭新篇章——党的二十大报告精神导学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5000" w:type="pct"/>
            <w:gridSpan w:val="2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eastAsia="楷体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4"/>
                <w:szCs w:val="24"/>
                <w:lang w:bidi="ar"/>
              </w:rPr>
              <w:t>坚定不移全面从严治党，深入推进新时代党的建设新的伟大工程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5000" w:type="pct"/>
            <w:gridSpan w:val="2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eastAsia="楷体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bidi="ar"/>
              </w:rPr>
              <w:t>坚持全面依法治国，推进法治中国建设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5000" w:type="pct"/>
            <w:gridSpan w:val="2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eastAsia="楷体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bidi="ar"/>
              </w:rPr>
              <w:t>加快构建新发展格局，着力推动高质量发展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5000" w:type="pct"/>
            <w:gridSpan w:val="2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eastAsia="楷体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4"/>
                <w:szCs w:val="24"/>
                <w:lang w:bidi="ar"/>
              </w:rPr>
              <w:t>推进文化自信自强，铸就社会主义文化新辉煌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5000" w:type="pct"/>
            <w:gridSpan w:val="2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eastAsia="楷体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推动绿色发展，促进人与自然和谐共生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5000" w:type="pct"/>
            <w:gridSpan w:val="2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eastAsia="楷体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促进世界和平与发展，推动构建人类命运共同体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5000" w:type="pct"/>
            <w:gridSpan w:val="2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eastAsia="楷体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bidi="ar"/>
              </w:rPr>
              <w:t>新时代的中国与世界——中国和平发展面临的国际局势与战略应对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5000" w:type="pct"/>
            <w:gridSpan w:val="2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eastAsia="楷体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bidi="ar"/>
              </w:rPr>
              <w:t>认真学习党的二十大精神，开辟马克思主义中国化时代化新境界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5000" w:type="pct"/>
            <w:gridSpan w:val="2"/>
            <w:shd w:val="clear" w:color="auto" w:fill="D7D7D7"/>
            <w:noWrap/>
            <w:vAlign w:val="center"/>
          </w:tcPr>
          <w:p>
            <w:pPr>
              <w:pStyle w:val="6"/>
              <w:tabs>
                <w:tab w:val="left" w:pos="3119"/>
              </w:tabs>
              <w:snapToGrid w:val="0"/>
              <w:jc w:val="center"/>
              <w:rPr>
                <w:rFonts w:eastAsia="黑体" w:cs="Times New Roman"/>
                <w:color w:val="auto"/>
                <w:sz w:val="24"/>
                <w:szCs w:val="24"/>
              </w:rPr>
            </w:pPr>
            <w:r>
              <w:rPr>
                <w:rFonts w:eastAsia="楷体" w:cs="Times New Roman"/>
                <w:color w:val="auto"/>
                <w:sz w:val="24"/>
                <w:szCs w:val="24"/>
                <w:u w:val="none" w:color="auto"/>
              </w:rPr>
              <w:t>——</w:t>
            </w:r>
            <w:r>
              <w:rPr>
                <w:rFonts w:ascii="Segoe UI Symbol" w:hAnsi="Segoe UI Symbol" w:eastAsia="楷体" w:cs="Segoe UI Symbol"/>
                <w:color w:val="auto"/>
                <w:sz w:val="24"/>
                <w:szCs w:val="24"/>
                <w:u w:val="none" w:color="auto"/>
              </w:rPr>
              <w:t>★</w:t>
            </w:r>
            <w:r>
              <w:rPr>
                <w:rFonts w:eastAsia="楷体" w:cs="Times New Roman"/>
                <w:color w:val="auto"/>
                <w:sz w:val="24"/>
                <w:szCs w:val="24"/>
                <w:u w:val="none" w:color="auto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u w:val="none" w:color="auto"/>
              </w:rPr>
              <w:t>能力提升自主学</w:t>
            </w:r>
            <w:r>
              <w:rPr>
                <w:rFonts w:eastAsia="方正小标宋简体" w:cs="Times New Roman"/>
                <w:color w:val="auto"/>
                <w:sz w:val="24"/>
                <w:szCs w:val="24"/>
                <w:u w:val="none" w:color="auto"/>
              </w:rPr>
              <w:t xml:space="preserve"> </w:t>
            </w:r>
            <w:r>
              <w:rPr>
                <w:rFonts w:ascii="Segoe UI Symbol" w:hAnsi="Segoe UI Symbol" w:eastAsia="楷体" w:cs="Segoe UI Symbol"/>
                <w:color w:val="auto"/>
                <w:sz w:val="24"/>
                <w:szCs w:val="24"/>
                <w:u w:val="none" w:color="auto"/>
              </w:rPr>
              <w:t>★</w:t>
            </w:r>
            <w:r>
              <w:rPr>
                <w:rFonts w:eastAsia="楷体" w:cs="Times New Roman"/>
                <w:color w:val="auto"/>
                <w:sz w:val="24"/>
                <w:szCs w:val="24"/>
                <w:u w:val="none" w:color="auto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162" w:type="pct"/>
            <w:shd w:val="clear" w:color="auto" w:fill="D7D7D7"/>
            <w:noWrap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黑体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24"/>
                <w:szCs w:val="24"/>
              </w:rPr>
              <w:t>课程模块</w:t>
            </w:r>
          </w:p>
        </w:tc>
        <w:tc>
          <w:tcPr>
            <w:tcW w:w="3838" w:type="pct"/>
            <w:shd w:val="clear" w:color="auto" w:fill="D7D7D7"/>
            <w:noWrap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auto"/>
                <w:sz w:val="24"/>
                <w:szCs w:val="24"/>
              </w:rPr>
              <w:t>课程名称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162" w:type="pct"/>
            <w:vMerge w:val="restart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  <w:t>党性修养提升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3838" w:type="pct"/>
            <w:shd w:val="clear" w:color="000000" w:fill="auto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从《习近平的七年知青岁月》看中国共产党人的初心与使命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162" w:type="pct"/>
            <w:vMerge w:val="continue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3838" w:type="pct"/>
            <w:shd w:val="clear" w:color="000000" w:fill="auto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中国共产党百年奋斗的历史经验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162" w:type="pct"/>
            <w:vMerge w:val="continue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3838" w:type="pct"/>
            <w:shd w:val="clear" w:color="000000" w:fill="auto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弘扬伟大建党精神  赓续精神谱系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162" w:type="pct"/>
            <w:vMerge w:val="continue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3838" w:type="pct"/>
            <w:shd w:val="clear" w:color="000000" w:fill="auto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坚定政治信仰，勇于担当作为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162" w:type="pct"/>
            <w:vMerge w:val="restart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  <w:t>意识形态工作</w:t>
            </w:r>
          </w:p>
        </w:tc>
        <w:tc>
          <w:tcPr>
            <w:tcW w:w="3838" w:type="pct"/>
            <w:shd w:val="clear" w:color="000000" w:fill="auto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 xml:space="preserve">坚持马克思主义在意识形态领域指导地位的根本制度，牢牢掌握意识形态工作领导权、管理权、话语权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162" w:type="pct"/>
            <w:vMerge w:val="continue"/>
            <w:shd w:val="clear" w:color="000000" w:fill="auto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838" w:type="pct"/>
            <w:shd w:val="clear" w:color="000000" w:fill="auto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4"/>
                <w:szCs w:val="24"/>
                <w:lang w:bidi="ar"/>
              </w:rPr>
              <w:t>党的领导与新时代党的建设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162" w:type="pct"/>
            <w:vMerge w:val="continue"/>
            <w:shd w:val="clear" w:color="000000" w:fill="auto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838" w:type="pct"/>
            <w:shd w:val="clear" w:color="000000" w:fill="auto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落实意识形态责任制，做好舆情引导工作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162" w:type="pct"/>
            <w:vMerge w:val="continue"/>
            <w:shd w:val="clear" w:color="000000" w:fill="auto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838" w:type="pct"/>
            <w:shd w:val="clear" w:color="000000" w:fill="auto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增强做好新形势下意识形态工作的本领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162" w:type="pct"/>
            <w:vMerge w:val="continue"/>
            <w:shd w:val="clear" w:color="000000" w:fill="auto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838" w:type="pct"/>
            <w:shd w:val="clear" w:color="000000" w:fill="auto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网络文章的敏感内容规避和网络舆情防范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162" w:type="pct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党章党规党纪</w:t>
            </w:r>
          </w:p>
        </w:tc>
        <w:tc>
          <w:tcPr>
            <w:tcW w:w="3838" w:type="pct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谈谈学习党章的方法——以入党誓词为例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162" w:type="pct"/>
            <w:vMerge w:val="continue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838" w:type="pct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破解对“一把手”监督和同级监督难题——《中共中央关于加强对“一把手”和领导班子监督的意见》解读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162" w:type="pct"/>
            <w:vMerge w:val="continue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838" w:type="pct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严格党的组织生活制度，增强党的组织生活活力——《中央和国家机关严格党的组织生活制度的若干规定（试行）》解读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162" w:type="pct"/>
            <w:vMerge w:val="continue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838" w:type="pct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新时代党员教育管理工作的基本遵循——学习《中国共产党党员教育管理工作条例》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162" w:type="pct"/>
            <w:vMerge w:val="continue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838" w:type="pct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《中国共产党纪律处分条例》（修订）解读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162" w:type="pct"/>
            <w:vMerge w:val="continue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838" w:type="pct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深入学习贯彻《中国共产党支部工作条列（试行）》加强党支部标准化规范化建设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162" w:type="pct"/>
            <w:vMerge w:val="continue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838" w:type="pct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不断提高新发展党员的质量——关于《中国共产党发展党员工作细则》的学习与解读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162" w:type="pct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838" w:type="pct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管党治党一刻不能松——深入学习习近平关于党风廉政建设和反腐败斗争论述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162" w:type="pct"/>
            <w:vMerge w:val="continue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838" w:type="pct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《习近平关于全面从严治党论述摘编》导读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162" w:type="pct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基层党组织建设</w:t>
            </w:r>
          </w:p>
        </w:tc>
        <w:tc>
          <w:tcPr>
            <w:tcW w:w="3838" w:type="pct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“全国党建工作示范高校”培育创建的实践探索与</w:t>
            </w:r>
            <w:r>
              <w:rPr>
                <w:rFonts w:ascii="Times New Roman" w:hAnsi="Times New Roman" w:eastAsia="微软雅黑" w:cs="Times New Roman"/>
                <w:color w:val="auto"/>
                <w:sz w:val="24"/>
                <w:szCs w:val="24"/>
              </w:rPr>
              <w:t>謭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论思考——以基层党支部建设为视角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162" w:type="pct"/>
            <w:vMerge w:val="continue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838" w:type="pct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怎样讲好一节党课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162" w:type="pct"/>
            <w:vMerge w:val="continue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838" w:type="pct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做“有为”党委，让党建工作扎根基层——全国党建工作标杆院系创建的思考与探索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162" w:type="pct"/>
            <w:vMerge w:val="continue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838" w:type="pct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完善党政联席会议制度 推进院系治理现代化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162" w:type="pct"/>
            <w:vMerge w:val="continue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838" w:type="pct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对标支部建设项目标准 全面驱动工作质量提升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162" w:type="pct"/>
            <w:vMerge w:val="continue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838" w:type="pct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围绕“六个加强”，打造“六型堡垒”，以“七个有力”促学生成长成才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162" w:type="pct"/>
            <w:vMerge w:val="restart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党建工作实务</w:t>
            </w:r>
          </w:p>
        </w:tc>
        <w:tc>
          <w:tcPr>
            <w:tcW w:w="3838" w:type="pct"/>
            <w:shd w:val="clear" w:color="000000" w:fill="auto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如何高质量开展好“三会一课”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162" w:type="pct"/>
            <w:vMerge w:val="continue"/>
            <w:shd w:val="clear" w:color="000000" w:fill="auto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838" w:type="pct"/>
            <w:shd w:val="clear" w:color="000000" w:fill="auto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如何让主题党团活动更有吸引力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162" w:type="pct"/>
            <w:vMerge w:val="continue"/>
            <w:shd w:val="clear" w:color="000000" w:fill="auto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838" w:type="pct"/>
            <w:shd w:val="clear" w:color="000000" w:fill="auto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如何开好组织生活会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162" w:type="pct"/>
            <w:vMerge w:val="continue"/>
            <w:shd w:val="clear" w:color="000000" w:fill="auto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838" w:type="pct"/>
            <w:shd w:val="clear" w:color="000000" w:fill="auto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支部宣传、纪检委员的职责与工作方法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162" w:type="pct"/>
            <w:vMerge w:val="continue"/>
            <w:shd w:val="clear" w:color="000000" w:fill="auto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838" w:type="pct"/>
            <w:shd w:val="clear" w:color="000000" w:fill="auto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党支部开展民主评议党员工作主要程序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162" w:type="pct"/>
            <w:vMerge w:val="continue"/>
            <w:shd w:val="clear" w:color="000000" w:fill="auto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838" w:type="pct"/>
            <w:shd w:val="clear" w:color="000000" w:fill="auto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党支部如何开展谈心谈话活动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162" w:type="pct"/>
            <w:vMerge w:val="continue"/>
            <w:shd w:val="clear" w:color="000000" w:fill="auto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838" w:type="pct"/>
            <w:shd w:val="clear" w:color="000000" w:fill="auto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关于党费收缴、使用和管理的相关规定和解读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162" w:type="pct"/>
            <w:vMerge w:val="continue"/>
            <w:shd w:val="clear" w:color="000000" w:fill="auto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838" w:type="pct"/>
            <w:shd w:val="clear" w:color="000000" w:fill="auto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党支部如何切实做好保密工作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162" w:type="pct"/>
            <w:vMerge w:val="restart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师德师风建设</w:t>
            </w:r>
          </w:p>
        </w:tc>
        <w:tc>
          <w:tcPr>
            <w:tcW w:w="3838" w:type="pct"/>
            <w:shd w:val="clear" w:color="000000" w:fill="auto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潜心教书育人 共建师生命运共同体——教师责任的认知、认同与实践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162" w:type="pct"/>
            <w:vMerge w:val="continue"/>
            <w:shd w:val="clear" w:color="000000" w:fill="auto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838" w:type="pct"/>
            <w:shd w:val="clear" w:color="000000" w:fill="auto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新时代教师职业行为十项准则及典型案例分析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162" w:type="pct"/>
            <w:vMerge w:val="continue"/>
            <w:shd w:val="clear" w:color="000000" w:fill="auto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838" w:type="pct"/>
            <w:shd w:val="clear" w:color="000000" w:fill="auto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教师职业行为十项准则解读：典型案例与警示教育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162" w:type="pct"/>
            <w:vMerge w:val="continue"/>
            <w:shd w:val="clear" w:color="000000" w:fill="auto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838" w:type="pct"/>
            <w:shd w:val="clear" w:color="000000" w:fill="auto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教师、教育、教学——做教育事业的筑梦人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162" w:type="pct"/>
            <w:vMerge w:val="restart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职业教育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发展</w:t>
            </w:r>
          </w:p>
        </w:tc>
        <w:tc>
          <w:tcPr>
            <w:tcW w:w="3838" w:type="pct"/>
            <w:shd w:val="clear" w:color="000000" w:fill="auto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《国家职业教育改革实施方案》及相关文件解读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162" w:type="pct"/>
            <w:vMerge w:val="continue"/>
            <w:shd w:val="clear" w:color="000000" w:fill="auto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838" w:type="pct"/>
            <w:shd w:val="clear" w:color="000000" w:fill="auto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《关于推动现代职业教育高质量发展的意见》学习体会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162" w:type="pct"/>
            <w:vMerge w:val="continue"/>
            <w:shd w:val="clear" w:color="000000" w:fill="auto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838" w:type="pct"/>
            <w:shd w:val="clear" w:color="000000" w:fill="auto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新《职业教育法》护航职业教育高质量发展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162" w:type="pct"/>
            <w:vMerge w:val="continue"/>
            <w:shd w:val="clear" w:color="000000" w:fill="auto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838" w:type="pct"/>
            <w:shd w:val="clear" w:color="000000" w:fill="auto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《“技能中国行动”实施方案》解读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162" w:type="pct"/>
            <w:vMerge w:val="continue"/>
            <w:shd w:val="clear" w:color="000000" w:fill="auto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838" w:type="pct"/>
            <w:shd w:val="clear" w:color="000000" w:fill="auto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职业教育信息化标杆学校建设的思考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162" w:type="pct"/>
            <w:vMerge w:val="continue"/>
            <w:shd w:val="clear" w:color="000000" w:fill="auto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838" w:type="pct"/>
            <w:shd w:val="clear" w:color="000000" w:fill="auto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职业教育工学一体化课程原理与开发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162" w:type="pct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  <w:t>综合能力素养</w:t>
            </w:r>
          </w:p>
        </w:tc>
        <w:tc>
          <w:tcPr>
            <w:tcW w:w="3838" w:type="pct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人际关系与沟通技巧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162" w:type="pct"/>
            <w:vMerge w:val="continue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838" w:type="pct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鬼谷子沟通的艺术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162" w:type="pct"/>
            <w:vMerge w:val="continue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838" w:type="pct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如何科学管理情绪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162" w:type="pct"/>
            <w:vMerge w:val="continue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838" w:type="pct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bidi="ar"/>
              </w:rPr>
              <w:t>职业焦虑与心理调适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162" w:type="pct"/>
            <w:vMerge w:val="continue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838" w:type="pct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4"/>
                <w:szCs w:val="24"/>
                <w:lang w:bidi="ar"/>
              </w:rPr>
              <w:t>校园安全法律风险防范与突发事件处理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162" w:type="pct"/>
            <w:vMerge w:val="continue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838" w:type="pct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党务工作公文写作方法、规律与技巧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162" w:type="pct"/>
            <w:vMerge w:val="continue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838" w:type="pct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公文审核技巧与公文处理中的常见错情分析及对策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162" w:type="pct"/>
            <w:vMerge w:val="restart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  <w:t>社区教育提质赋能（社区院校研修）</w:t>
            </w:r>
          </w:p>
        </w:tc>
        <w:tc>
          <w:tcPr>
            <w:tcW w:w="3838" w:type="pct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bidi="ar"/>
              </w:rPr>
              <w:t>什么是社区教育的高质量发展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162" w:type="pct"/>
            <w:vMerge w:val="continue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838" w:type="pct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bidi="ar"/>
              </w:rPr>
              <w:t>社区教育与弘扬与践行社会主义核心价值观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162" w:type="pct"/>
            <w:vMerge w:val="continue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838" w:type="pct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bidi="ar"/>
              </w:rPr>
              <w:t>社区教育与社区治理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162" w:type="pct"/>
            <w:vMerge w:val="continue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838" w:type="pct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bidi="ar"/>
              </w:rPr>
              <w:t>社区教育与优秀传统文化传承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162" w:type="pct"/>
            <w:vMerge w:val="continue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838" w:type="pct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bidi="ar"/>
              </w:rPr>
              <w:t>社区教育与转变市民生活方式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162" w:type="pct"/>
            <w:vMerge w:val="continue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838" w:type="pct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bidi="ar"/>
              </w:rPr>
              <w:t>社区教育与家庭教育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162" w:type="pct"/>
            <w:vMerge w:val="continue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838" w:type="pct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bidi="ar"/>
              </w:rPr>
              <w:t>社区教育与乡村振兴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162" w:type="pct"/>
            <w:vMerge w:val="continue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838" w:type="pct"/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bidi="ar"/>
              </w:rPr>
              <w:t>社区教育与社区建设</w:t>
            </w:r>
          </w:p>
        </w:tc>
      </w:tr>
    </w:tbl>
    <w:p>
      <w:pPr>
        <w:spacing w:line="360" w:lineRule="exact"/>
        <w:rPr>
          <w:rFonts w:ascii="Times New Roman" w:hAnsi="Times New Roman" w:eastAsia="楷体" w:cs="Times New Roman"/>
          <w:color w:val="auto"/>
          <w:sz w:val="24"/>
          <w:szCs w:val="24"/>
          <w:u w:val="none" w:color="000000"/>
        </w:rPr>
      </w:pPr>
      <w:r>
        <w:rPr>
          <w:rFonts w:ascii="Times New Roman" w:hAnsi="Times New Roman" w:eastAsia="楷体" w:cs="Times New Roman"/>
          <w:color w:val="auto"/>
          <w:sz w:val="24"/>
          <w:szCs w:val="24"/>
          <w:u w:val="none" w:color="000000"/>
        </w:rPr>
        <w:t xml:space="preserve">说明：1.个别课程或稍有调整，请以平台最终发布课程为准； </w:t>
      </w:r>
    </w:p>
    <w:p>
      <w:pPr>
        <w:widowControl/>
        <w:spacing w:line="360" w:lineRule="exact"/>
        <w:ind w:firstLine="720" w:firstLineChars="300"/>
        <w:jc w:val="left"/>
        <w:rPr>
          <w:rFonts w:ascii="Times New Roman" w:hAnsi="Times New Roman" w:eastAsia="楷体" w:cs="Times New Roman"/>
          <w:color w:val="auto"/>
          <w:sz w:val="24"/>
          <w:szCs w:val="24"/>
          <w:u w:val="none" w:color="000000"/>
        </w:rPr>
        <w:sectPr>
          <w:pgSz w:w="11906" w:h="16838"/>
          <w:pgMar w:top="1440" w:right="1803" w:bottom="1440" w:left="1803" w:header="851" w:footer="992" w:gutter="0"/>
          <w:cols w:space="720" w:num="1"/>
          <w:docGrid w:linePitch="312" w:charSpace="0"/>
        </w:sectPr>
      </w:pPr>
      <w:r>
        <w:rPr>
          <w:rFonts w:ascii="Times New Roman" w:hAnsi="Times New Roman" w:eastAsia="楷体" w:cs="Times New Roman"/>
          <w:color w:val="auto"/>
          <w:sz w:val="24"/>
          <w:szCs w:val="24"/>
          <w:u w:val="none" w:color="000000"/>
        </w:rPr>
        <w:t>2.课程主讲人职务为课程录制时的职务。</w:t>
      </w:r>
    </w:p>
    <w:bookmarkEnd w:id="1"/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zMmIyMTIyODY2MTk4OGRkOTI1YzI5MTE1Y2Q5ZDkifQ=="/>
  </w:docVars>
  <w:rsids>
    <w:rsidRoot w:val="10CF16B7"/>
    <w:rsid w:val="10CF16B7"/>
    <w:rsid w:val="1FA82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32"/>
      <w:szCs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kern w:val="0"/>
      <w:sz w:val="18"/>
      <w:szCs w:val="18"/>
    </w:rPr>
  </w:style>
  <w:style w:type="paragraph" w:customStyle="1" w:styleId="6">
    <w:name w:val="正文 A"/>
    <w:qFormat/>
    <w:uiPriority w:val="0"/>
    <w:pPr>
      <w:widowControl w:val="0"/>
      <w:jc w:val="both"/>
    </w:pPr>
    <w:rPr>
      <w:rFonts w:ascii="Times New Roman" w:hAnsi="Times New Roman" w:eastAsia="Arial Unicode MS" w:cs="Arial Unicode MS"/>
      <w:color w:val="000000"/>
      <w:kern w:val="2"/>
      <w:sz w:val="21"/>
      <w:szCs w:val="21"/>
      <w:u w:val="none" w:color="00000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2022-11-15T06:27:00Z</dcterms:created>
  <dc:creator>一叶编舟</dc:creator>
  <cp:lastModifiedBy>一叶编舟</cp:lastModifiedBy>
  <dcterms:modified xsi:type="dcterms:W3CDTF">2022-11-15T06:27:38Z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78BD8826BBA64A74B487E198073EAC4F</vt:lpwstr>
  </property>
</Properties>
</file>