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after="120"/>
        <w:ind w:left="-8" w:leftChars="-67" w:hanging="132" w:hangingChars="44"/>
        <w:rPr>
          <w:rFonts w:ascii="Times New Roman" w:hAnsi="Times New Roman" w:eastAsia="仿宋_GB2312" w:cs="Times New Roman"/>
          <w:bCs/>
          <w:sz w:val="30"/>
          <w:szCs w:val="30"/>
        </w:rPr>
      </w:pPr>
      <w:r>
        <w:rPr>
          <w:rFonts w:ascii="Times New Roman" w:hAnsi="Times New Roman" w:eastAsia="黑体" w:cs="Times New Roman"/>
          <w:bCs/>
          <w:sz w:val="30"/>
          <w:szCs w:val="30"/>
        </w:rPr>
        <w:t>附件</w:t>
      </w:r>
      <w:r>
        <w:rPr>
          <w:rFonts w:ascii="Times New Roman" w:hAnsi="Times New Roman" w:eastAsia="仿宋_GB2312" w:cs="Times New Roman"/>
          <w:bCs/>
          <w:sz w:val="30"/>
          <w:szCs w:val="30"/>
        </w:rPr>
        <w:t>1:</w:t>
      </w:r>
    </w:p>
    <w:p>
      <w:pPr>
        <w:spacing w:before="120" w:after="120" w:afterAutospacing="1"/>
        <w:jc w:val="center"/>
        <w:rPr>
          <w:rFonts w:ascii="Times New Roman" w:hAnsi="Times New Roman" w:eastAsia="方正小标宋简体" w:cs="Times New Roman"/>
          <w:bCs/>
          <w:sz w:val="36"/>
          <w:szCs w:val="36"/>
        </w:rPr>
      </w:pPr>
      <w:r>
        <w:rPr>
          <w:rFonts w:ascii="Times New Roman" w:hAnsi="Times New Roman" w:eastAsia="方正小标宋简体" w:cs="Times New Roman"/>
          <w:bCs/>
          <w:sz w:val="36"/>
          <w:szCs w:val="36"/>
        </w:rPr>
        <w:t>“党建时事大讲堂”系列专题网络培训计划表</w:t>
      </w:r>
    </w:p>
    <w:tbl>
      <w:tblPr>
        <w:tblStyle w:val="4"/>
        <w:tblW w:w="48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2554"/>
        <w:gridCol w:w="2410"/>
        <w:gridCol w:w="6382"/>
        <w:gridCol w:w="1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tblHeader/>
          <w:jc w:val="center"/>
        </w:trPr>
        <w:tc>
          <w:tcPr>
            <w:tcW w:w="285" w:type="pct"/>
            <w:vAlign w:val="center"/>
          </w:tcPr>
          <w:p>
            <w:pPr>
              <w:spacing w:before="120" w:after="120" w:line="400" w:lineRule="exact"/>
              <w:jc w:val="center"/>
              <w:rPr>
                <w:rFonts w:ascii="Times New Roman" w:hAnsi="Times New Roman" w:eastAsia="仿宋" w:cs="Times New Roman"/>
                <w:b/>
                <w:bCs/>
                <w:color w:val="000000"/>
                <w:sz w:val="24"/>
              </w:rPr>
            </w:pPr>
            <w:r>
              <w:rPr>
                <w:rFonts w:ascii="Times New Roman" w:hAnsi="Times New Roman" w:eastAsia="仿宋" w:cs="Times New Roman"/>
                <w:b/>
                <w:bCs/>
                <w:color w:val="000000"/>
                <w:sz w:val="24"/>
              </w:rPr>
              <w:t>序号</w:t>
            </w:r>
          </w:p>
        </w:tc>
        <w:tc>
          <w:tcPr>
            <w:tcW w:w="923" w:type="pct"/>
            <w:vAlign w:val="center"/>
          </w:tcPr>
          <w:p>
            <w:pPr>
              <w:spacing w:before="120" w:after="120" w:line="400" w:lineRule="exact"/>
              <w:jc w:val="center"/>
              <w:rPr>
                <w:rFonts w:ascii="Times New Roman" w:hAnsi="Times New Roman" w:eastAsia="仿宋" w:cs="Times New Roman"/>
                <w:b/>
                <w:bCs/>
                <w:color w:val="000000"/>
                <w:sz w:val="24"/>
              </w:rPr>
            </w:pPr>
            <w:r>
              <w:rPr>
                <w:rFonts w:ascii="Times New Roman" w:hAnsi="Times New Roman" w:eastAsia="仿宋" w:cs="Times New Roman"/>
                <w:b/>
                <w:bCs/>
                <w:color w:val="000000"/>
                <w:sz w:val="24"/>
              </w:rPr>
              <w:t>项目名称</w:t>
            </w:r>
          </w:p>
        </w:tc>
        <w:tc>
          <w:tcPr>
            <w:tcW w:w="871" w:type="pct"/>
            <w:vAlign w:val="center"/>
          </w:tcPr>
          <w:p>
            <w:pPr>
              <w:spacing w:before="120" w:after="120" w:line="400" w:lineRule="exact"/>
              <w:jc w:val="center"/>
              <w:rPr>
                <w:rFonts w:ascii="Times New Roman" w:hAnsi="Times New Roman" w:eastAsia="仿宋" w:cs="Times New Roman"/>
                <w:b/>
                <w:bCs/>
                <w:color w:val="000000"/>
                <w:sz w:val="24"/>
              </w:rPr>
            </w:pPr>
            <w:r>
              <w:rPr>
                <w:rFonts w:ascii="Times New Roman" w:hAnsi="Times New Roman" w:eastAsia="仿宋" w:cs="Times New Roman"/>
                <w:b/>
                <w:bCs/>
                <w:color w:val="000000"/>
                <w:sz w:val="24"/>
              </w:rPr>
              <w:t>培训对象</w:t>
            </w:r>
          </w:p>
        </w:tc>
        <w:tc>
          <w:tcPr>
            <w:tcW w:w="2306" w:type="pct"/>
            <w:vAlign w:val="center"/>
          </w:tcPr>
          <w:p>
            <w:pPr>
              <w:spacing w:before="120" w:after="120" w:line="400" w:lineRule="exact"/>
              <w:jc w:val="center"/>
              <w:rPr>
                <w:rFonts w:ascii="Times New Roman" w:hAnsi="Times New Roman" w:eastAsia="仿宋" w:cs="Times New Roman"/>
                <w:b/>
                <w:bCs/>
                <w:color w:val="000000"/>
                <w:sz w:val="24"/>
              </w:rPr>
            </w:pPr>
            <w:r>
              <w:rPr>
                <w:rFonts w:ascii="Times New Roman" w:hAnsi="Times New Roman" w:eastAsia="仿宋" w:cs="Times New Roman"/>
                <w:b/>
                <w:bCs/>
                <w:color w:val="000000"/>
                <w:sz w:val="24"/>
              </w:rPr>
              <w:t>内容要点</w:t>
            </w:r>
          </w:p>
        </w:tc>
        <w:tc>
          <w:tcPr>
            <w:tcW w:w="615" w:type="pct"/>
            <w:vAlign w:val="center"/>
          </w:tcPr>
          <w:p>
            <w:pPr>
              <w:pStyle w:val="2"/>
              <w:spacing w:before="156" w:after="156" w:line="400" w:lineRule="exact"/>
              <w:jc w:val="center"/>
              <w:rPr>
                <w:rFonts w:hint="default" w:ascii="Times New Roman" w:hAnsi="Times New Roman" w:eastAsia="仿宋"/>
                <w:color w:val="000000"/>
                <w:kern w:val="2"/>
                <w:sz w:val="24"/>
                <w:szCs w:val="24"/>
              </w:rPr>
            </w:pPr>
            <w:r>
              <w:rPr>
                <w:rFonts w:hint="default" w:ascii="Times New Roman" w:hAnsi="Times New Roman" w:eastAsia="仿宋"/>
                <w:color w:val="000000"/>
                <w:sz w:val="24"/>
                <w:szCs w:val="24"/>
              </w:rPr>
              <w:t>学习时长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8" w:hRule="atLeast"/>
          <w:jc w:val="center"/>
        </w:trPr>
        <w:tc>
          <w:tcPr>
            <w:tcW w:w="28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1</w:t>
            </w:r>
          </w:p>
        </w:tc>
        <w:tc>
          <w:tcPr>
            <w:tcW w:w="923"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深入学习贯彻党的十九届五中全会精神专题网络培训</w:t>
            </w:r>
          </w:p>
        </w:tc>
        <w:tc>
          <w:tcPr>
            <w:tcW w:w="871"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各社区及各机关企事业单位党政领导干部和党员等。</w:t>
            </w:r>
          </w:p>
        </w:tc>
        <w:tc>
          <w:tcPr>
            <w:tcW w:w="2306" w:type="pct"/>
            <w:vAlign w:val="center"/>
          </w:tcPr>
          <w:p>
            <w:pPr>
              <w:spacing w:before="120" w:after="120" w:line="400" w:lineRule="exact"/>
              <w:jc w:val="left"/>
              <w:rPr>
                <w:rFonts w:ascii="Times New Roman" w:hAnsi="Times New Roman" w:eastAsia="仿宋_GB2312" w:cs="Times New Roman"/>
                <w:sz w:val="24"/>
              </w:rPr>
            </w:pPr>
            <w:r>
              <w:rPr>
                <w:rFonts w:ascii="Times New Roman" w:hAnsi="Times New Roman" w:eastAsia="仿宋_GB2312" w:cs="Times New Roman"/>
                <w:sz w:val="24"/>
              </w:rPr>
              <w:t>培训将围绕党的十九届五中全会召开的历史背景和重要意义、“十四五”时期改革发展面临的新机遇、新挑战和新要求，以及《中共中央关于制定国民经济和社会发展第十四个五年规划和二</w:t>
            </w:r>
            <w:r>
              <w:rPr>
                <w:rFonts w:ascii="Times New Roman" w:hAnsi="Times New Roman" w:eastAsia="仿宋" w:cs="Times New Roman"/>
                <w:sz w:val="24"/>
              </w:rPr>
              <w:t>〇</w:t>
            </w:r>
            <w:r>
              <w:rPr>
                <w:rFonts w:ascii="Times New Roman" w:hAnsi="Times New Roman" w:eastAsia="仿宋_GB2312" w:cs="Times New Roman"/>
                <w:sz w:val="24"/>
              </w:rPr>
              <w:t>三五年远景目标的建议》的核心要义、2035年远景目标和“十四五”规划目标及指导思想、着力构建新发展格局、推动深层次改革和高水平开放、坚持以人民为中心的发展思想、加强党的全面领导等方面内容进行系统解读，引导机关企事业单位广大党政干部和党员深刻理解全会对新形势、新阶段、新理念、新格局做出的战略判断，全面领会《建议》中的新论断、新观点、新思想、新要求，准确把握“十四五”时期改革发展的宏观形势，推动经济社会高质量发展。</w:t>
            </w:r>
          </w:p>
        </w:tc>
        <w:tc>
          <w:tcPr>
            <w:tcW w:w="61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3个月/40学时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4" w:hRule="atLeast"/>
          <w:jc w:val="center"/>
        </w:trPr>
        <w:tc>
          <w:tcPr>
            <w:tcW w:w="28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2</w:t>
            </w:r>
          </w:p>
        </w:tc>
        <w:tc>
          <w:tcPr>
            <w:tcW w:w="923"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“学习党史、新中国史、改革开放史、社会主义发展史”专题网络培训</w:t>
            </w:r>
          </w:p>
        </w:tc>
        <w:tc>
          <w:tcPr>
            <w:tcW w:w="871" w:type="pct"/>
            <w:vAlign w:val="center"/>
          </w:tcPr>
          <w:p>
            <w:pPr>
              <w:spacing w:before="120" w:after="120" w:line="400" w:lineRule="exact"/>
              <w:jc w:val="left"/>
              <w:rPr>
                <w:rFonts w:ascii="Times New Roman" w:hAnsi="Times New Roman" w:eastAsia="仿宋_GB2312" w:cs="Times New Roman"/>
                <w:color w:val="000000"/>
                <w:sz w:val="24"/>
              </w:rPr>
            </w:pPr>
            <w:r>
              <w:rPr>
                <w:rFonts w:ascii="Times New Roman" w:hAnsi="Times New Roman" w:eastAsia="仿宋_GB2312" w:cs="Times New Roman"/>
                <w:sz w:val="24"/>
              </w:rPr>
              <w:t>各社区及各机关企事业单位党员、干部、员工与社区工作者、居民等。</w:t>
            </w:r>
          </w:p>
        </w:tc>
        <w:tc>
          <w:tcPr>
            <w:tcW w:w="2306"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szCs w:val="30"/>
              </w:rPr>
              <w:t>培训围绕“学党史，明初心，知使命”“学新中国史，坚定信念，砥砺前行”“学改革开放史，继往开来，迈向复兴”“学社会主义发展史，为人类对更好社会制度的探索提供中国方案”“学优秀传统文化 不断铸就中华文化新辉煌”五大课程模块设置课程内容，旨在提高党员干部把握党的领导制度，总结党的领导、执政及建设的理论与实践，展望中国共产党的未来发展，增强马克思主义政党历史使命感。</w:t>
            </w:r>
          </w:p>
        </w:tc>
        <w:tc>
          <w:tcPr>
            <w:tcW w:w="61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2个月/30学时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6" w:hRule="atLeast"/>
          <w:jc w:val="center"/>
        </w:trPr>
        <w:tc>
          <w:tcPr>
            <w:tcW w:w="28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3</w:t>
            </w:r>
          </w:p>
        </w:tc>
        <w:tc>
          <w:tcPr>
            <w:tcW w:w="923"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kern w:val="0"/>
                <w:sz w:val="24"/>
              </w:rPr>
              <w:t>新时代基层党组织书记履职能力提升专题网络培训</w:t>
            </w:r>
          </w:p>
        </w:tc>
        <w:tc>
          <w:tcPr>
            <w:tcW w:w="871"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各级机关、企事业单位党委、党总支、党支部的书记、副书记、委员等党务工作者和广大党员干部。</w:t>
            </w:r>
          </w:p>
        </w:tc>
        <w:tc>
          <w:tcPr>
            <w:tcW w:w="2306" w:type="pct"/>
            <w:vAlign w:val="center"/>
          </w:tcPr>
          <w:p>
            <w:pPr>
              <w:spacing w:before="120" w:after="120" w:line="400" w:lineRule="exact"/>
              <w:jc w:val="left"/>
              <w:rPr>
                <w:rFonts w:ascii="Times New Roman" w:hAnsi="Times New Roman" w:eastAsia="仿宋_GB2312" w:cs="Times New Roman"/>
                <w:sz w:val="24"/>
              </w:rPr>
            </w:pPr>
            <w:r>
              <w:rPr>
                <w:rFonts w:ascii="Times New Roman" w:hAnsi="Times New Roman" w:eastAsia="仿宋_GB2312" w:cs="Times New Roman"/>
                <w:sz w:val="24"/>
              </w:rPr>
              <w:t>培训围绕习近平新时代中国特色社会主义思想、党章党规党纪、党史国史教育、党建实务和业务技能等设置培训课程，旨在引导基层党组织书记增强“四个意识”、坚定“四个自信”、做到“两个维护”，准确把握党建工作主要内容和工作要求，提升自身党务能力和业务能力，推动新时代党建工作高质量发展。</w:t>
            </w:r>
          </w:p>
        </w:tc>
        <w:tc>
          <w:tcPr>
            <w:tcW w:w="61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2个月/30学时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 w:hRule="atLeast"/>
          <w:jc w:val="center"/>
        </w:trPr>
        <w:tc>
          <w:tcPr>
            <w:tcW w:w="285" w:type="pct"/>
            <w:vMerge w:val="restar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4</w:t>
            </w:r>
          </w:p>
        </w:tc>
        <w:tc>
          <w:tcPr>
            <w:tcW w:w="923" w:type="pct"/>
            <w:vMerge w:val="restar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kern w:val="0"/>
                <w:sz w:val="24"/>
              </w:rPr>
              <w:t>筑理想 担使命 迎百年 高质量做好新时代发展党员工作网络培训</w:t>
            </w:r>
          </w:p>
        </w:tc>
        <w:tc>
          <w:tcPr>
            <w:tcW w:w="871"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kern w:val="0"/>
                <w:sz w:val="24"/>
              </w:rPr>
              <w:t>入党积极分子培训班</w:t>
            </w:r>
          </w:p>
        </w:tc>
        <w:tc>
          <w:tcPr>
            <w:tcW w:w="2306" w:type="pct"/>
            <w:vMerge w:val="restar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培训围绕习近平新时代中国特色社会主义思想、马克思主义基本理论、党的性质和宗旨、党的基本知识、党的历史和革命传统教育、党章党纪党规、形势政策教育、理想信念教育、爱国主义教育、党性修养提升、先进事迹学习等设置课程内容，旨在不断提高党员发展质量，推动党员发展规范化科学化建设。</w:t>
            </w:r>
          </w:p>
        </w:tc>
        <w:tc>
          <w:tcPr>
            <w:tcW w:w="615" w:type="pct"/>
            <w:vMerge w:val="restar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2个月/30学时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 w:hRule="atLeast"/>
          <w:jc w:val="center"/>
        </w:trPr>
        <w:tc>
          <w:tcPr>
            <w:tcW w:w="285" w:type="pct"/>
            <w:vMerge w:val="continue"/>
            <w:vAlign w:val="center"/>
          </w:tcPr>
          <w:p>
            <w:pPr>
              <w:spacing w:before="120" w:after="120" w:line="400" w:lineRule="exact"/>
              <w:jc w:val="center"/>
              <w:rPr>
                <w:rFonts w:ascii="Times New Roman" w:hAnsi="Times New Roman" w:eastAsia="仿宋_GB2312" w:cs="Times New Roman"/>
                <w:sz w:val="24"/>
              </w:rPr>
            </w:pPr>
          </w:p>
        </w:tc>
        <w:tc>
          <w:tcPr>
            <w:tcW w:w="923" w:type="pct"/>
            <w:vMerge w:val="continue"/>
            <w:vAlign w:val="center"/>
          </w:tcPr>
          <w:p>
            <w:pPr>
              <w:spacing w:before="120" w:after="120" w:line="400" w:lineRule="exact"/>
              <w:rPr>
                <w:rFonts w:ascii="Times New Roman" w:hAnsi="Times New Roman" w:eastAsia="仿宋_GB2312" w:cs="Times New Roman"/>
                <w:kern w:val="0"/>
                <w:sz w:val="24"/>
              </w:rPr>
            </w:pPr>
          </w:p>
        </w:tc>
        <w:tc>
          <w:tcPr>
            <w:tcW w:w="871"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kern w:val="0"/>
                <w:sz w:val="24"/>
              </w:rPr>
              <w:t>发展对象培训班</w:t>
            </w:r>
          </w:p>
        </w:tc>
        <w:tc>
          <w:tcPr>
            <w:tcW w:w="2306" w:type="pct"/>
            <w:vMerge w:val="continue"/>
            <w:vAlign w:val="center"/>
          </w:tcPr>
          <w:p>
            <w:pPr>
              <w:spacing w:before="120" w:after="120" w:line="400" w:lineRule="exact"/>
              <w:rPr>
                <w:rFonts w:ascii="Times New Roman" w:hAnsi="Times New Roman" w:eastAsia="仿宋_GB2312" w:cs="Times New Roman"/>
                <w:sz w:val="24"/>
              </w:rPr>
            </w:pPr>
          </w:p>
        </w:tc>
        <w:tc>
          <w:tcPr>
            <w:tcW w:w="615" w:type="pct"/>
            <w:vMerge w:val="continue"/>
            <w:vAlign w:val="center"/>
          </w:tcPr>
          <w:p>
            <w:pPr>
              <w:spacing w:before="120" w:after="120" w:line="400" w:lineRule="exact"/>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 w:hRule="atLeast"/>
          <w:jc w:val="center"/>
        </w:trPr>
        <w:tc>
          <w:tcPr>
            <w:tcW w:w="285" w:type="pct"/>
            <w:vMerge w:val="continue"/>
            <w:vAlign w:val="center"/>
          </w:tcPr>
          <w:p>
            <w:pPr>
              <w:spacing w:before="120" w:after="120" w:line="400" w:lineRule="exact"/>
              <w:jc w:val="center"/>
              <w:rPr>
                <w:rFonts w:ascii="Times New Roman" w:hAnsi="Times New Roman" w:eastAsia="仿宋_GB2312" w:cs="Times New Roman"/>
                <w:sz w:val="24"/>
              </w:rPr>
            </w:pPr>
          </w:p>
        </w:tc>
        <w:tc>
          <w:tcPr>
            <w:tcW w:w="923" w:type="pct"/>
            <w:vMerge w:val="continue"/>
            <w:vAlign w:val="center"/>
          </w:tcPr>
          <w:p>
            <w:pPr>
              <w:spacing w:before="120" w:after="120" w:line="400" w:lineRule="exact"/>
              <w:rPr>
                <w:rFonts w:ascii="Times New Roman" w:hAnsi="Times New Roman" w:eastAsia="仿宋_GB2312" w:cs="Times New Roman"/>
                <w:kern w:val="0"/>
                <w:sz w:val="24"/>
              </w:rPr>
            </w:pPr>
          </w:p>
        </w:tc>
        <w:tc>
          <w:tcPr>
            <w:tcW w:w="871"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预备党员培训班</w:t>
            </w:r>
          </w:p>
        </w:tc>
        <w:tc>
          <w:tcPr>
            <w:tcW w:w="2306" w:type="pct"/>
            <w:vMerge w:val="continue"/>
            <w:vAlign w:val="center"/>
          </w:tcPr>
          <w:p>
            <w:pPr>
              <w:spacing w:before="120" w:after="120" w:line="400" w:lineRule="exact"/>
              <w:rPr>
                <w:rFonts w:ascii="Times New Roman" w:hAnsi="Times New Roman" w:eastAsia="仿宋_GB2312" w:cs="Times New Roman"/>
                <w:sz w:val="24"/>
              </w:rPr>
            </w:pPr>
          </w:p>
        </w:tc>
        <w:tc>
          <w:tcPr>
            <w:tcW w:w="615" w:type="pct"/>
            <w:vMerge w:val="continue"/>
            <w:vAlign w:val="center"/>
          </w:tcPr>
          <w:p>
            <w:pPr>
              <w:spacing w:before="120" w:after="120" w:line="400" w:lineRule="exact"/>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 w:hRule="atLeast"/>
          <w:jc w:val="center"/>
        </w:trPr>
        <w:tc>
          <w:tcPr>
            <w:tcW w:w="285" w:type="pct"/>
            <w:vMerge w:val="continue"/>
            <w:vAlign w:val="center"/>
          </w:tcPr>
          <w:p>
            <w:pPr>
              <w:spacing w:before="120" w:after="120" w:line="400" w:lineRule="exact"/>
              <w:jc w:val="center"/>
              <w:rPr>
                <w:rFonts w:ascii="Times New Roman" w:hAnsi="Times New Roman" w:eastAsia="仿宋_GB2312" w:cs="Times New Roman"/>
                <w:sz w:val="24"/>
              </w:rPr>
            </w:pPr>
          </w:p>
        </w:tc>
        <w:tc>
          <w:tcPr>
            <w:tcW w:w="923" w:type="pct"/>
            <w:vMerge w:val="continue"/>
            <w:vAlign w:val="center"/>
          </w:tcPr>
          <w:p>
            <w:pPr>
              <w:spacing w:before="120" w:after="120" w:line="400" w:lineRule="exact"/>
              <w:rPr>
                <w:rFonts w:ascii="Times New Roman" w:hAnsi="Times New Roman" w:eastAsia="仿宋_GB2312" w:cs="Times New Roman"/>
                <w:kern w:val="0"/>
                <w:sz w:val="24"/>
              </w:rPr>
            </w:pPr>
          </w:p>
        </w:tc>
        <w:tc>
          <w:tcPr>
            <w:tcW w:w="871"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党员培训班</w:t>
            </w:r>
          </w:p>
        </w:tc>
        <w:tc>
          <w:tcPr>
            <w:tcW w:w="2306" w:type="pct"/>
            <w:vMerge w:val="continue"/>
            <w:vAlign w:val="center"/>
          </w:tcPr>
          <w:p>
            <w:pPr>
              <w:spacing w:before="120" w:after="120" w:line="400" w:lineRule="exact"/>
              <w:rPr>
                <w:rFonts w:ascii="Times New Roman" w:hAnsi="Times New Roman" w:eastAsia="仿宋_GB2312" w:cs="Times New Roman"/>
                <w:sz w:val="24"/>
              </w:rPr>
            </w:pPr>
          </w:p>
        </w:tc>
        <w:tc>
          <w:tcPr>
            <w:tcW w:w="615" w:type="pct"/>
            <w:vMerge w:val="continue"/>
            <w:vAlign w:val="center"/>
          </w:tcPr>
          <w:p>
            <w:pPr>
              <w:spacing w:before="120" w:after="120" w:line="400" w:lineRule="exact"/>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3" w:hRule="atLeast"/>
          <w:jc w:val="center"/>
        </w:trPr>
        <w:tc>
          <w:tcPr>
            <w:tcW w:w="28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5</w:t>
            </w:r>
          </w:p>
        </w:tc>
        <w:tc>
          <w:tcPr>
            <w:tcW w:w="923"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kern w:val="0"/>
                <w:sz w:val="24"/>
              </w:rPr>
              <w:t>党风廉政与反腐倡廉建设专题网络培训</w:t>
            </w:r>
          </w:p>
        </w:tc>
        <w:tc>
          <w:tcPr>
            <w:tcW w:w="871"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各级机关企事业单位纪委办公室、监察处、党委巡察工作办公室等相关负责同志；各二级单位基层纪检书记和委员。</w:t>
            </w:r>
          </w:p>
        </w:tc>
        <w:tc>
          <w:tcPr>
            <w:tcW w:w="2306"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培训围绕政策理论与思想引领、党的领导与组织保障、全面从严治党与政治建设、作风纪律建设与反腐败斗争、纪检监察体制改革与监督体系完善、岗位能力与队伍建设等设置内容，旨在引导各级领导干部要强化责任担当和规矩意识，充分发挥“头雁”作用，带头履行责任，敢于触及问题、善于化解矛盾、勇于担当作为，不断推动各项事业高质量发展。</w:t>
            </w:r>
          </w:p>
        </w:tc>
        <w:tc>
          <w:tcPr>
            <w:tcW w:w="61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2个月/30学时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 w:hRule="atLeast"/>
          <w:jc w:val="center"/>
        </w:trPr>
        <w:tc>
          <w:tcPr>
            <w:tcW w:w="28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6</w:t>
            </w:r>
          </w:p>
        </w:tc>
        <w:tc>
          <w:tcPr>
            <w:tcW w:w="923"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“加强党的宣传思想工作 讲好百年大党故事”专题网络培训</w:t>
            </w:r>
          </w:p>
        </w:tc>
        <w:tc>
          <w:tcPr>
            <w:tcW w:w="871"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各社区及各机关企事业单位党员干部，重点是党组织的宣传委员等。</w:t>
            </w:r>
          </w:p>
        </w:tc>
        <w:tc>
          <w:tcPr>
            <w:tcW w:w="2306"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培训围绕习近平总书记《论党的宣传思想工作》一书中提出的一系列新思想新观点新论断设置培训课程，旨在引导广大党员干部深入学习贯彻习近平新时代中国特色社会主义思想，加强党对宣传思想工作全面领导，扎实做好宣传思想工作，牢牢把握正确舆论导向，掌握维护意识形态安全的主导权，为献礼建党一百周年，全面建设社会主义现代化国家开好局起好步提供坚强思想保证和强大精神力量。</w:t>
            </w:r>
          </w:p>
        </w:tc>
        <w:tc>
          <w:tcPr>
            <w:tcW w:w="61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2个月/30学时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45" w:hRule="atLeast"/>
          <w:jc w:val="center"/>
        </w:trPr>
        <w:tc>
          <w:tcPr>
            <w:tcW w:w="28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7</w:t>
            </w:r>
          </w:p>
        </w:tc>
        <w:tc>
          <w:tcPr>
            <w:tcW w:w="923"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深入学习习近平法治思想 加强法治工作队伍建设专题网络培训</w:t>
            </w:r>
          </w:p>
        </w:tc>
        <w:tc>
          <w:tcPr>
            <w:tcW w:w="871"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各社区及各机关企事业单位党员干部、法治工作相关负责同志。</w:t>
            </w:r>
          </w:p>
        </w:tc>
        <w:tc>
          <w:tcPr>
            <w:tcW w:w="2306"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培训将围绕完善单位法人治理结构，构建完善规章制度体系、法律风险防控体系建设，法治素养与依法办事能力提升、法治工作机制和队伍建设，机关企事业单位员工劳动与权益保护机制等内容进行课程设置，提高企事业单位治理体系和治理能力现代化水平。</w:t>
            </w:r>
          </w:p>
        </w:tc>
        <w:tc>
          <w:tcPr>
            <w:tcW w:w="61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3个月/40学时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28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8</w:t>
            </w:r>
          </w:p>
        </w:tc>
        <w:tc>
          <w:tcPr>
            <w:tcW w:w="923"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领导干部管理创新与治理能力提升培训</w:t>
            </w:r>
          </w:p>
        </w:tc>
        <w:tc>
          <w:tcPr>
            <w:tcW w:w="871"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各级机关企事业单位中层干部。</w:t>
            </w:r>
          </w:p>
        </w:tc>
        <w:tc>
          <w:tcPr>
            <w:tcW w:w="2306" w:type="pct"/>
            <w:vAlign w:val="center"/>
          </w:tcPr>
          <w:p>
            <w:pPr>
              <w:spacing w:before="120" w:after="120" w:line="400" w:lineRule="exact"/>
              <w:jc w:val="left"/>
              <w:rPr>
                <w:rFonts w:ascii="Times New Roman" w:hAnsi="Times New Roman" w:eastAsia="仿宋_GB2312" w:cs="Times New Roman"/>
                <w:sz w:val="24"/>
              </w:rPr>
            </w:pPr>
            <w:r>
              <w:rPr>
                <w:rFonts w:ascii="Times New Roman" w:hAnsi="Times New Roman" w:eastAsia="仿宋_GB2312" w:cs="Times New Roman"/>
                <w:sz w:val="24"/>
              </w:rPr>
              <w:t>培训围绕“管理与治理”主题， 设置 政治理论修养、管理能力提升、治理能力提升、领导力提升、综合素养提升模块，旨在提高干部管理能力与治理能力。</w:t>
            </w:r>
          </w:p>
        </w:tc>
        <w:tc>
          <w:tcPr>
            <w:tcW w:w="61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2个月/30学时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8" w:hRule="atLeast"/>
          <w:jc w:val="center"/>
        </w:trPr>
        <w:tc>
          <w:tcPr>
            <w:tcW w:w="28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9</w:t>
            </w:r>
          </w:p>
        </w:tc>
        <w:tc>
          <w:tcPr>
            <w:tcW w:w="923" w:type="pct"/>
            <w:vAlign w:val="center"/>
          </w:tcPr>
          <w:p>
            <w:pPr>
              <w:spacing w:line="400" w:lineRule="exact"/>
              <w:rPr>
                <w:rFonts w:ascii="Times New Roman" w:hAnsi="Times New Roman" w:eastAsia="仿宋_GB2312" w:cs="Times New Roman"/>
                <w:sz w:val="24"/>
              </w:rPr>
            </w:pPr>
            <w:r>
              <w:rPr>
                <w:rFonts w:ascii="Times New Roman" w:hAnsi="Times New Roman" w:eastAsia="仿宋_GB2312" w:cs="Times New Roman"/>
                <w:sz w:val="24"/>
              </w:rPr>
              <w:t>勇挑重担 想干事能干事干成事—— 新时代年轻干部七大能力</w:t>
            </w:r>
          </w:p>
          <w:p>
            <w:pPr>
              <w:spacing w:line="400" w:lineRule="exact"/>
              <w:rPr>
                <w:rFonts w:ascii="Times New Roman" w:hAnsi="Times New Roman" w:eastAsia="仿宋_GB2312" w:cs="Times New Roman"/>
                <w:sz w:val="24"/>
              </w:rPr>
            </w:pPr>
            <w:r>
              <w:rPr>
                <w:rFonts w:ascii="Times New Roman" w:hAnsi="Times New Roman" w:eastAsia="仿宋_GB2312" w:cs="Times New Roman"/>
                <w:sz w:val="24"/>
              </w:rPr>
              <w:t>建设专题</w:t>
            </w:r>
          </w:p>
        </w:tc>
        <w:tc>
          <w:tcPr>
            <w:tcW w:w="871"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各级机关企事业单位年轻干部。</w:t>
            </w:r>
          </w:p>
        </w:tc>
        <w:tc>
          <w:tcPr>
            <w:tcW w:w="2306" w:type="pct"/>
            <w:vAlign w:val="center"/>
          </w:tcPr>
          <w:p>
            <w:pPr>
              <w:spacing w:before="120" w:after="120" w:line="400" w:lineRule="exact"/>
              <w:jc w:val="left"/>
              <w:rPr>
                <w:rFonts w:ascii="Times New Roman" w:hAnsi="Times New Roman" w:eastAsia="仿宋_GB2312" w:cs="Times New Roman"/>
                <w:sz w:val="24"/>
              </w:rPr>
            </w:pPr>
            <w:r>
              <w:rPr>
                <w:rFonts w:ascii="Times New Roman" w:hAnsi="Times New Roman" w:eastAsia="仿宋_GB2312" w:cs="Times New Roman"/>
                <w:sz w:val="24"/>
              </w:rPr>
              <w:t>培训围绕“七大能力建设”主题， 设置政治能力提升、调查研究能力提升、科学决策能力提升、应急处突能力提升、改革攻坚能力、抓落实能力模块，旨在提高年轻干部解决实际问题的能力。</w:t>
            </w:r>
          </w:p>
        </w:tc>
        <w:tc>
          <w:tcPr>
            <w:tcW w:w="61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2个月/30学时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28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10</w:t>
            </w:r>
          </w:p>
        </w:tc>
        <w:tc>
          <w:tcPr>
            <w:tcW w:w="923"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kern w:val="0"/>
                <w:sz w:val="24"/>
              </w:rPr>
              <w:t>突发事件处置与网络舆情应对能力提升专题网络培训</w:t>
            </w:r>
          </w:p>
        </w:tc>
        <w:tc>
          <w:tcPr>
            <w:tcW w:w="871"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各社区及各机关企事业单位领导干部。</w:t>
            </w:r>
          </w:p>
        </w:tc>
        <w:tc>
          <w:tcPr>
            <w:tcW w:w="2306"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培训围绕“突发事件与网络舆情”主题设置《突发事件应对法》解读、危机管理领导力建设、恐怖事件应对处置、突发事件心理危机干预、突发事件信息发布与舆情应对模块，旨在帮助各级企事业单位领导干部面对网络舆情时及时、有效的处理和开展工作。</w:t>
            </w:r>
          </w:p>
        </w:tc>
        <w:tc>
          <w:tcPr>
            <w:tcW w:w="61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2个月/30学时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9" w:hRule="atLeast"/>
          <w:jc w:val="center"/>
        </w:trPr>
        <w:tc>
          <w:tcPr>
            <w:tcW w:w="28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11</w:t>
            </w:r>
          </w:p>
        </w:tc>
        <w:tc>
          <w:tcPr>
            <w:tcW w:w="923"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kern w:val="0"/>
                <w:sz w:val="24"/>
              </w:rPr>
              <w:t>“关注心理健康 提升工作能力，做幸福的职业人” 专题网络培训</w:t>
            </w:r>
          </w:p>
        </w:tc>
        <w:tc>
          <w:tcPr>
            <w:tcW w:w="871" w:type="pct"/>
            <w:vAlign w:val="center"/>
          </w:tcPr>
          <w:p>
            <w:pPr>
              <w:spacing w:before="120" w:after="120" w:line="400" w:lineRule="exact"/>
              <w:jc w:val="left"/>
              <w:rPr>
                <w:rFonts w:ascii="Times New Roman" w:hAnsi="Times New Roman" w:eastAsia="仿宋_GB2312" w:cs="Times New Roman"/>
                <w:sz w:val="24"/>
              </w:rPr>
            </w:pPr>
            <w:r>
              <w:rPr>
                <w:rFonts w:ascii="Times New Roman" w:hAnsi="Times New Roman" w:eastAsia="仿宋_GB2312" w:cs="Times New Roman"/>
                <w:sz w:val="24"/>
              </w:rPr>
              <w:t>各社区及各机关企事业单位党员、干部、社区工作者、员工等。</w:t>
            </w:r>
          </w:p>
        </w:tc>
        <w:tc>
          <w:tcPr>
            <w:tcW w:w="2306" w:type="pct"/>
            <w:vAlign w:val="center"/>
          </w:tcPr>
          <w:p>
            <w:pPr>
              <w:spacing w:before="120" w:after="120" w:line="400" w:lineRule="exact"/>
              <w:jc w:val="left"/>
              <w:rPr>
                <w:rFonts w:ascii="Times New Roman" w:hAnsi="Times New Roman" w:eastAsia="仿宋_GB2312" w:cs="Times New Roman"/>
                <w:sz w:val="24"/>
              </w:rPr>
            </w:pPr>
            <w:r>
              <w:rPr>
                <w:rFonts w:ascii="Times New Roman" w:hAnsi="Times New Roman" w:eastAsia="仿宋_GB2312" w:cs="Times New Roman"/>
                <w:sz w:val="24"/>
              </w:rPr>
              <w:t>培训围绕“心理分析与压力识别”“心理调适与压力管理”“沟通技巧与冲突处理”“社交礼仪与人际交往”“生活管理与职业规划”“文化浸润与修身智慧”“积极心态与幸福人生”等内容进行课程设置，引导领导干部员工增强自我心理调适能力，更有效处理工作、生活中所遇到的情绪困扰、人际交往等问题。</w:t>
            </w:r>
          </w:p>
        </w:tc>
        <w:tc>
          <w:tcPr>
            <w:tcW w:w="61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3个月/40学时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28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12</w:t>
            </w:r>
          </w:p>
        </w:tc>
        <w:tc>
          <w:tcPr>
            <w:tcW w:w="923"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bCs/>
                <w:color w:val="000000"/>
                <w:kern w:val="0"/>
                <w:sz w:val="24"/>
              </w:rPr>
              <w:t>“弘扬优秀传统文化 筑牢企业文化发展之魂”专题网络培训</w:t>
            </w:r>
          </w:p>
        </w:tc>
        <w:tc>
          <w:tcPr>
            <w:tcW w:w="871" w:type="pct"/>
            <w:vAlign w:val="center"/>
          </w:tcPr>
          <w:p>
            <w:pPr>
              <w:spacing w:before="120" w:after="120" w:line="400" w:lineRule="exact"/>
              <w:rPr>
                <w:rFonts w:ascii="Times New Roman" w:hAnsi="Times New Roman" w:eastAsia="仿宋_GB2312" w:cs="Times New Roman"/>
                <w:sz w:val="24"/>
              </w:rPr>
            </w:pPr>
            <w:r>
              <w:rPr>
                <w:rFonts w:ascii="Times New Roman" w:hAnsi="Times New Roman" w:eastAsia="仿宋_GB2312" w:cs="Times New Roman"/>
                <w:sz w:val="24"/>
              </w:rPr>
              <w:t>各社区及各机关企事业单位党员、干部、员工与社区工作者、居民等。</w:t>
            </w:r>
          </w:p>
        </w:tc>
        <w:tc>
          <w:tcPr>
            <w:tcW w:w="2306" w:type="pct"/>
            <w:vAlign w:val="center"/>
          </w:tcPr>
          <w:p>
            <w:pPr>
              <w:spacing w:before="120" w:after="120" w:line="400" w:lineRule="exact"/>
              <w:jc w:val="left"/>
              <w:rPr>
                <w:rFonts w:ascii="Times New Roman" w:hAnsi="Times New Roman" w:eastAsia="仿宋_GB2312" w:cs="Times New Roman"/>
                <w:sz w:val="24"/>
              </w:rPr>
            </w:pPr>
            <w:r>
              <w:rPr>
                <w:rFonts w:ascii="Times New Roman" w:hAnsi="Times New Roman" w:eastAsia="仿宋_GB2312" w:cs="Times New Roman"/>
                <w:sz w:val="24"/>
              </w:rPr>
              <w:t>培训围绕“传统文化与人生智慧”“传统文化与管理智慧”“国学镜鉴与古代先贤”“企业文化与员工素养”“文化精粹与工作智慧”等内容进行课程设置，旨在引导领导干部了解中国优秀传统文化内涵，理解优秀传统文化的特征和魅力，增强企业凝聚力，提高企业生产力。</w:t>
            </w:r>
          </w:p>
        </w:tc>
        <w:tc>
          <w:tcPr>
            <w:tcW w:w="615" w:type="pct"/>
            <w:vAlign w:val="center"/>
          </w:tcPr>
          <w:p>
            <w:pPr>
              <w:spacing w:before="120" w:after="120" w:line="400" w:lineRule="exact"/>
              <w:jc w:val="center"/>
              <w:rPr>
                <w:rFonts w:ascii="Times New Roman" w:hAnsi="Times New Roman" w:eastAsia="仿宋_GB2312" w:cs="Times New Roman"/>
                <w:sz w:val="24"/>
              </w:rPr>
            </w:pPr>
            <w:r>
              <w:rPr>
                <w:rFonts w:ascii="Times New Roman" w:hAnsi="Times New Roman" w:eastAsia="仿宋_GB2312" w:cs="Times New Roman"/>
                <w:sz w:val="24"/>
              </w:rPr>
              <w:t>3个月/40学时</w:t>
            </w:r>
          </w:p>
        </w:tc>
      </w:tr>
    </w:tbl>
    <w:p>
      <w:pPr>
        <w:spacing w:before="120" w:after="120"/>
        <w:ind w:left="851" w:hanging="853"/>
        <w:rPr>
          <w:rFonts w:ascii="Times New Roman" w:hAnsi="Times New Roman" w:eastAsia="仿宋_GB2312" w:cs="Times New Roman"/>
          <w:color w:val="0D0D0D"/>
          <w:sz w:val="24"/>
        </w:rPr>
      </w:pPr>
      <w:r>
        <w:rPr>
          <w:rFonts w:ascii="Times New Roman" w:hAnsi="Times New Roman" w:eastAsia="仿宋_GB2312" w:cs="Times New Roman"/>
          <w:b/>
          <w:bCs/>
          <w:color w:val="0D0D0D"/>
          <w:sz w:val="24"/>
        </w:rPr>
        <w:t>说明</w:t>
      </w:r>
      <w:r>
        <w:rPr>
          <w:rFonts w:ascii="Times New Roman" w:hAnsi="Times New Roman" w:eastAsia="仿宋_GB2312" w:cs="Times New Roman"/>
          <w:color w:val="0D0D0D"/>
          <w:sz w:val="24"/>
        </w:rPr>
        <w:t>：上述项目收到通知后即可开始报名，随时滚动开班。</w:t>
      </w:r>
    </w:p>
    <w:p>
      <w:pPr>
        <w:spacing w:line="600" w:lineRule="exact"/>
        <w:ind w:right="2202"/>
        <w:rPr>
          <w:rFonts w:ascii="Times New Roman" w:hAnsi="Times New Roman" w:eastAsia="仿宋_GB2312" w:cs="Times New Roman"/>
          <w:bCs/>
          <w:sz w:val="30"/>
          <w:szCs w:val="30"/>
        </w:rPr>
        <w:sectPr>
          <w:pgSz w:w="16838" w:h="11906" w:orient="landscape"/>
          <w:pgMar w:top="1531" w:right="1440" w:bottom="1531" w:left="1440" w:header="851" w:footer="992" w:gutter="0"/>
          <w:pgNumType w:start="6"/>
          <w:cols w:space="720" w:num="1"/>
          <w:titlePg/>
          <w:docGrid w:type="linesAndChar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6E7E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2021-01-27T01:46:58Z</dcterms:created>
  <dc:creator>liuqing</dc:creator>
  <cp:lastModifiedBy>liuqing</cp:lastModifiedBy>
  <dcterms:modified xsi:type="dcterms:W3CDTF">2021-01-27T01:47:29Z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